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Информационная безопасность</w:t>
            </w:r>
          </w:p>
          <w:p>
            <w:pPr>
              <w:jc w:val="center"/>
              <w:spacing w:after="0" w:line="240" w:lineRule="auto"/>
              <w:rPr>
                <w:sz w:val="32"/>
                <w:szCs w:val="32"/>
              </w:rPr>
            </w:pPr>
            <w:r>
              <w:rPr>
                <w:rFonts w:ascii="Times New Roman" w:hAnsi="Times New Roman" w:cs="Times New Roman"/>
                <w:color w:val="#000000"/>
                <w:sz w:val="32"/>
                <w:szCs w:val="32"/>
              </w:rPr>
              <w:t> К.М.02.ДВ.02.02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«Информационная безопасность»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К.М.02.ДВ.02.02 «Информационная безопасность».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«Информационная безопасность»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в профессиональной деятельности основные технологические решения, технические средства, приемы и методы онлайн и офлайн коммуникаций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методологию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основные технологии копирайтинга в онлайн и офлайн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особенности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основные технологии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методологию применения технологий организации специальных мероприятий в работе с различными целевыми группами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методологию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методологию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основные технологии медиарилейшнз и медиапланирования в онлайн и онлайн среде при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реализовывать методологию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использовать основные технологии копирайтинга в онлайн и офлайн среде</w:t>
            </w:r>
          </w:p>
        </w:tc>
      </w:tr>
      <w:tr>
        <w:trPr>
          <w:trHeight w:hRule="exact" w:val="314.43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технологии копирайтинга в онлайн и офлайн среде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подготовке текстов рекламы и (или) связей с общественностью</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применять основные технологии организации специальных мероприятий в работе с различными целевыми группами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выстраивать профессиональную деятельность в соответствии с методологией применения технологий организации специальных мероприятий в работе с различными целевыми группами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применять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выстраивать профессиональную деятельность в соответствии с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использовать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использования  основных технологий медиарилейшнз и медиапланирования в онлайн и онлайн среде при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реализации методологии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использования основных технологий копирайтинга в онлайн и офлайн среде</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основными технологиями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формирования корпоративной культуры организации с помощью основных инструментов внутренних коммуникаций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2.4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основы поиска статистической и аналитической информации, характеризующей ситуацию на рынке продукции СМИ, контроль и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эффективности результатов продвижения продукции СМИ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использовать основы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навыками использования основ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использования методов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К.М.02.ДВ.02.02 «Информационная безопасность» относится к обязательной части, является дисциплиной Блока Б1. «Дисциплины (модули)». Модуль "Информационные технологии и системы в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обработки видео, аудио и графической информации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создания презентационных материалов</w:t>
            </w:r>
          </w:p>
          <w:p>
            <w:pPr>
              <w:jc w:val="center"/>
              <w:spacing w:after="0" w:line="240" w:lineRule="auto"/>
              <w:rPr>
                <w:sz w:val="22"/>
                <w:szCs w:val="22"/>
              </w:rPr>
            </w:pPr>
            <w:r>
              <w:rPr>
                <w:rFonts w:ascii="Times New Roman" w:hAnsi="Times New Roman" w:cs="Times New Roman"/>
                <w:color w:val="#000000"/>
                <w:sz w:val="22"/>
                <w:szCs w:val="22"/>
              </w:rPr>
              <w:t> Математико-статистические методы анализа и прогнозирования поведения потребителей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Компьютерная графика</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  в рекламе и связях с общественностью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Антивирусные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Защита от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Общие сведения о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Идентификация и аутентификация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Современные антивирусные пакеты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Процедура аутентификации пользователя на основе пароля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Администрирование действий пользователя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Административный уровень обеспечения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Разработка политики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План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Построение концепции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Механизмы обеспечения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сведения о криптографии.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Разграничение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Механизмы контроля целостности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Категории доступа информационных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Лицензирование в области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Методы нарушения конфиденциальности, целостности и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Квалификация несанкционированного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867.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Защита от вирусов</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Защита от известных вирусов. Защита от неизвестных вирусов. Защита от проявлений вирусов. Обзор возможностей антивирусных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Общие сведения о криптографии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Идентификация и аутентификация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Разработка политики безопасности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политики безопасности. Основные этапы анализа риска. Выбор и проверка защитных мер. Планирование мер обеспечения информационной безопасности.</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План защиты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защиты. План обеспечения непрерывной работы и восстановления функционирования автоматизированной системы. Реализация планов.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Предмет криптографии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Разграничение доступа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Информационная безопасность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защиты информации. Основные организационно-технических мероприятия по защите информации.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Лицензирование в области защиты информации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Аттестация объектов информации. Сертификация. Категорирование защищаемой информации.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Современные антивирусные пакеты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современных антивирусных пакетов. Общие методы и средства защиты информации.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Процедура аутентификации пользователя на основе пароля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Разработать программу, представляющую собой форму доступа к определённым информационным ресурсам на основе пароля.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Администрирование действий пользователя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Аутентификация. Идентификация и аутентификация. Авторизация. Пароль.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Построение концепции информационной безопасности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Механизмы обеспечения информационной безопасности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Механизмы контроля целостности данных</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Изучить порядок вычисления и проверки ЭЦП (электронной цифровой подписи).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Категории доступа информационных ресурсов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Категории доступа информационных ресурсов. Виды защищаемой информации. Квалификация несанкционированного доступа.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Методы нарушения конфиденциальности, целостности и доступности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методами нарушения конфиденциальности, целостности и доступности информации.</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Квалификация несанкционированного доступа</w:t>
            </w:r>
          </w:p>
        </w:tc>
      </w:tr>
      <w:tr>
        <w:trPr>
          <w:trHeight w:hRule="exact" w:val="21.3149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квалификациями несанкционированного доступа.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«Информационная безопасность» / Шабалин А.М..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978-5-94774-821-5.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http://www.iprbookshop.ru/52209.html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Шаньгин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978-5-4488-0070-2.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http://www.iprbookshop.ru/63594.html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Тони</w:t>
            </w:r>
            <w:r>
              <w:rPr/>
              <w:t xml:space="preserve"> </w:t>
            </w:r>
            <w:r>
              <w:rPr>
                <w:rFonts w:ascii="Times New Roman" w:hAnsi="Times New Roman" w:cs="Times New Roman"/>
                <w:color w:val="#000000"/>
                <w:sz w:val="24"/>
                <w:szCs w:val="24"/>
              </w:rPr>
              <w:t>Хаулет,</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http://www.iprbookshop.ru/67392.html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972.92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2024-2025_ФГОС3++2024_Бак-ЗФО-РСО(24)_plx_Информационная безопасность</dc:title>
  <dc:creator>FastReport.NET</dc:creator>
</cp:coreProperties>
</file>